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8A757" w14:textId="70056E53" w:rsidR="004D6CE5" w:rsidRPr="00CB5499" w:rsidRDefault="004D6CE5" w:rsidP="00554DA3">
      <w:pPr>
        <w:pStyle w:val="Romn"/>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53745E9B" w:rsid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325E46BD" w14:textId="77777777" w:rsidR="007C33F2" w:rsidRPr="00DC36CA" w:rsidRDefault="007C33F2" w:rsidP="00DC36CA">
      <w:pPr>
        <w:spacing w:after="0" w:line="240" w:lineRule="auto"/>
        <w:jc w:val="center"/>
        <w:rPr>
          <w:rFonts w:ascii="Cambria" w:hAnsi="Cambria" w:cs="Courier New"/>
          <w:sz w:val="20"/>
          <w:lang w:val="ro-RO"/>
        </w:rPr>
      </w:pP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7198A4D8"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Daniel DAVID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3D91CFAF" w:rsidR="00DC36CA" w:rsidRPr="007C33F2" w:rsidRDefault="005367B5" w:rsidP="005367B5">
      <w:pPr>
        <w:spacing w:after="0" w:line="240" w:lineRule="auto"/>
        <w:ind w:left="709" w:hanging="425"/>
        <w:jc w:val="both"/>
        <w:rPr>
          <w:rFonts w:asciiTheme="majorHAnsi" w:hAnsiTheme="majorHAnsi" w:cstheme="majorHAnsi"/>
          <w:sz w:val="20"/>
          <w:szCs w:val="20"/>
          <w:lang w:val="ro-RO"/>
        </w:rPr>
      </w:pPr>
      <w:r w:rsidRPr="007C33F2">
        <w:rPr>
          <w:rFonts w:asciiTheme="majorHAnsi" w:hAnsiTheme="majorHAnsi" w:cstheme="majorHAnsi"/>
          <w:sz w:val="20"/>
          <w:szCs w:val="20"/>
          <w:lang w:val="ro-RO"/>
        </w:rPr>
        <w:t>□</w:t>
      </w:r>
      <w:r w:rsidRPr="007C33F2">
        <w:rPr>
          <w:rFonts w:asciiTheme="majorHAnsi" w:hAnsiTheme="majorHAnsi" w:cstheme="majorHAnsi"/>
          <w:sz w:val="20"/>
          <w:szCs w:val="20"/>
          <w:lang w:val="ro-RO"/>
        </w:rPr>
        <w:tab/>
      </w:r>
      <w:r w:rsidR="00DC36CA" w:rsidRPr="007C33F2">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r w:rsidR="00D549EF" w:rsidRPr="007C33F2">
        <w:rPr>
          <w:rFonts w:asciiTheme="majorHAnsi" w:hAnsiTheme="majorHAnsi" w:cstheme="majorHAnsi"/>
          <w:sz w:val="20"/>
          <w:szCs w:val="20"/>
          <w:lang w:val="ro-RO"/>
        </w:rPr>
        <w:t xml:space="preserve"> </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lastRenderedPageBreak/>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5CC07500" w:rsidR="00DC36CA" w:rsidRPr="00FE200E" w:rsidRDefault="0016661A" w:rsidP="005367B5">
      <w:pPr>
        <w:spacing w:after="0" w:line="240" w:lineRule="auto"/>
        <w:jc w:val="both"/>
        <w:rPr>
          <w:rFonts w:asciiTheme="majorHAnsi" w:hAnsiTheme="majorHAnsi" w:cstheme="majorHAnsi"/>
          <w:sz w:val="20"/>
          <w:szCs w:val="20"/>
          <w:u w:val="single"/>
          <w:lang w:val="ro-RO"/>
        </w:rPr>
      </w:pPr>
      <w:r>
        <w:rPr>
          <w:rFonts w:asciiTheme="majorHAnsi" w:hAnsiTheme="majorHAnsi" w:cstheme="majorHAnsi"/>
          <w:sz w:val="20"/>
          <w:szCs w:val="20"/>
          <w:lang w:val="ro-RO"/>
        </w:rPr>
        <w:t xml:space="preserve">Dl. </w:t>
      </w:r>
      <w:r w:rsidRPr="0016661A">
        <w:rPr>
          <w:rFonts w:asciiTheme="majorHAnsi" w:hAnsiTheme="majorHAnsi" w:cstheme="majorHAnsi"/>
          <w:b/>
          <w:sz w:val="20"/>
          <w:szCs w:val="20"/>
          <w:lang w:val="ro-RO"/>
        </w:rPr>
        <w:t>Lector. Dr. Dorin Manciula</w:t>
      </w:r>
    </w:p>
    <w:p w14:paraId="044CCC0B" w14:textId="4E871C4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0016661A">
        <w:rPr>
          <w:rFonts w:asciiTheme="majorHAnsi" w:hAnsiTheme="majorHAnsi" w:cstheme="majorHAnsi"/>
          <w:sz w:val="20"/>
          <w:szCs w:val="20"/>
          <w:u w:val="single"/>
          <w:lang w:val="ro-RO"/>
        </w:rPr>
        <w:t>Responsabil practică FȘIM pentru specializările nivel licență și master din domeniul Ingineria Mediului</w:t>
      </w:r>
    </w:p>
    <w:p w14:paraId="113C7B2B" w14:textId="5E2F4A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0016661A">
        <w:rPr>
          <w:rFonts w:asciiTheme="majorHAnsi" w:hAnsiTheme="majorHAnsi" w:cstheme="majorHAnsi"/>
          <w:sz w:val="20"/>
          <w:szCs w:val="20"/>
          <w:u w:val="single"/>
          <w:lang w:val="ro-RO"/>
        </w:rPr>
        <w:t>0264.405300</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0016661A">
        <w:rPr>
          <w:rFonts w:asciiTheme="majorHAnsi" w:hAnsiTheme="majorHAnsi" w:cstheme="majorHAnsi"/>
          <w:sz w:val="20"/>
          <w:szCs w:val="20"/>
          <w:u w:val="single"/>
          <w:lang w:val="ro-RO"/>
        </w:rPr>
        <w:t>-</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0016661A">
        <w:rPr>
          <w:rFonts w:asciiTheme="majorHAnsi" w:hAnsiTheme="majorHAnsi" w:cstheme="majorHAnsi"/>
          <w:sz w:val="20"/>
          <w:szCs w:val="20"/>
          <w:u w:val="single"/>
          <w:lang w:val="ro-RO"/>
        </w:rPr>
        <w:t>dorin.manciula@ubbcluj.ro</w:t>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lastRenderedPageBreak/>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28E6CCA4" w14:textId="3A008F25" w:rsidR="00793370" w:rsidRPr="00FE200E" w:rsidRDefault="00515995" w:rsidP="003C6483">
            <w:pPr>
              <w:pStyle w:val="Romn"/>
            </w:pPr>
            <w:r>
              <w:t>Prof. univ. dr. Daniel David</w:t>
            </w:r>
            <w:bookmarkStart w:id="0" w:name="_GoBack"/>
            <w:bookmarkEnd w:id="0"/>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54DA3">
      <w:pPr>
        <w:pStyle w:val="Romn"/>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554DA3">
            <w:pPr>
              <w:pStyle w:val="Romn"/>
            </w:pPr>
          </w:p>
        </w:tc>
        <w:tc>
          <w:tcPr>
            <w:tcW w:w="2265" w:type="dxa"/>
            <w:vAlign w:val="center"/>
          </w:tcPr>
          <w:p w14:paraId="1435834C" w14:textId="11527B19" w:rsidR="00793370" w:rsidRPr="00FE200E" w:rsidRDefault="00793370" w:rsidP="00554DA3">
            <w:pPr>
              <w:pStyle w:val="Romn"/>
            </w:pPr>
            <w:r w:rsidRPr="00FE200E">
              <w:t>Nume şi prenume</w:t>
            </w:r>
          </w:p>
        </w:tc>
        <w:tc>
          <w:tcPr>
            <w:tcW w:w="2265" w:type="dxa"/>
            <w:vAlign w:val="center"/>
          </w:tcPr>
          <w:p w14:paraId="63FAB042" w14:textId="4B526BEC" w:rsidR="00793370" w:rsidRPr="00FE200E" w:rsidRDefault="00793370" w:rsidP="00554DA3">
            <w:pPr>
              <w:pStyle w:val="Romn"/>
            </w:pPr>
            <w:r w:rsidRPr="00FE200E">
              <w:t>Funcţie</w:t>
            </w:r>
          </w:p>
        </w:tc>
        <w:tc>
          <w:tcPr>
            <w:tcW w:w="2266" w:type="dxa"/>
            <w:vAlign w:val="center"/>
          </w:tcPr>
          <w:p w14:paraId="2348AFEA" w14:textId="34030724" w:rsidR="00793370" w:rsidRPr="00FE200E" w:rsidRDefault="00793370" w:rsidP="00554DA3">
            <w:pPr>
              <w:pStyle w:val="Romn"/>
            </w:pPr>
            <w:r w:rsidRPr="00FE200E">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554DA3">
            <w:pPr>
              <w:pStyle w:val="Romn"/>
            </w:pPr>
            <w:r w:rsidRPr="00FE200E">
              <w:t>Cadru didactic supervizor</w:t>
            </w:r>
          </w:p>
        </w:tc>
        <w:tc>
          <w:tcPr>
            <w:tcW w:w="2265" w:type="dxa"/>
            <w:vAlign w:val="center"/>
          </w:tcPr>
          <w:p w14:paraId="39FFAE5C" w14:textId="74F79728" w:rsidR="00793370" w:rsidRPr="00554DA3" w:rsidRDefault="00554DA3" w:rsidP="00554DA3">
            <w:pPr>
              <w:pStyle w:val="Romn"/>
              <w:rPr>
                <w:sz w:val="18"/>
                <w:szCs w:val="18"/>
              </w:rPr>
            </w:pPr>
            <w:r w:rsidRPr="00554DA3">
              <w:t>Lector. Dr. Dorin Manciula</w:t>
            </w:r>
          </w:p>
        </w:tc>
        <w:tc>
          <w:tcPr>
            <w:tcW w:w="2265" w:type="dxa"/>
            <w:vAlign w:val="center"/>
          </w:tcPr>
          <w:p w14:paraId="20D0DBA9" w14:textId="5D37FD34" w:rsidR="00793370" w:rsidRPr="00FE200E" w:rsidRDefault="00554DA3" w:rsidP="00554DA3">
            <w:pPr>
              <w:pStyle w:val="Romn"/>
            </w:pPr>
            <w:r>
              <w:t>Responsabil practică FȘIM – dom. IM</w:t>
            </w:r>
          </w:p>
        </w:tc>
        <w:tc>
          <w:tcPr>
            <w:tcW w:w="2266" w:type="dxa"/>
            <w:vAlign w:val="center"/>
          </w:tcPr>
          <w:p w14:paraId="0787ACE1" w14:textId="77777777" w:rsidR="00793370" w:rsidRPr="00FE200E" w:rsidRDefault="00793370" w:rsidP="00554DA3">
            <w:pPr>
              <w:pStyle w:val="Romn"/>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554DA3">
            <w:pPr>
              <w:pStyle w:val="Romn"/>
            </w:pPr>
            <w:r w:rsidRPr="00FE200E">
              <w:t>Tutore</w:t>
            </w:r>
          </w:p>
        </w:tc>
        <w:tc>
          <w:tcPr>
            <w:tcW w:w="2265" w:type="dxa"/>
            <w:vAlign w:val="center"/>
          </w:tcPr>
          <w:p w14:paraId="583A8F34" w14:textId="77777777" w:rsidR="00793370" w:rsidRPr="00FE200E" w:rsidRDefault="00793370" w:rsidP="00554DA3">
            <w:pPr>
              <w:pStyle w:val="Romn"/>
            </w:pPr>
          </w:p>
        </w:tc>
        <w:tc>
          <w:tcPr>
            <w:tcW w:w="2265" w:type="dxa"/>
            <w:vAlign w:val="center"/>
          </w:tcPr>
          <w:p w14:paraId="5994A909" w14:textId="4F05C45D" w:rsidR="00793370" w:rsidRPr="00FE200E" w:rsidRDefault="00793370" w:rsidP="00554DA3">
            <w:pPr>
              <w:pStyle w:val="Romn"/>
            </w:pPr>
          </w:p>
        </w:tc>
        <w:tc>
          <w:tcPr>
            <w:tcW w:w="2266" w:type="dxa"/>
            <w:vAlign w:val="center"/>
          </w:tcPr>
          <w:p w14:paraId="3725B4BB" w14:textId="77777777" w:rsidR="00793370" w:rsidRPr="00FE200E" w:rsidRDefault="00793370" w:rsidP="00554DA3">
            <w:pPr>
              <w:pStyle w:val="Romn"/>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554DA3">
            <w:pPr>
              <w:pStyle w:val="Romn"/>
            </w:pPr>
            <w:r w:rsidRPr="00FE200E">
              <w:t>Data</w:t>
            </w:r>
          </w:p>
        </w:tc>
        <w:tc>
          <w:tcPr>
            <w:tcW w:w="2265" w:type="dxa"/>
            <w:vAlign w:val="center"/>
          </w:tcPr>
          <w:p w14:paraId="63B2C19A" w14:textId="77777777" w:rsidR="00793370" w:rsidRPr="00FE200E" w:rsidRDefault="00793370" w:rsidP="00554DA3">
            <w:pPr>
              <w:pStyle w:val="Romn"/>
            </w:pPr>
          </w:p>
        </w:tc>
        <w:tc>
          <w:tcPr>
            <w:tcW w:w="2265" w:type="dxa"/>
            <w:vAlign w:val="center"/>
          </w:tcPr>
          <w:p w14:paraId="5BBA20A9" w14:textId="77777777" w:rsidR="00793370" w:rsidRPr="00FE200E" w:rsidRDefault="00793370" w:rsidP="00554DA3">
            <w:pPr>
              <w:pStyle w:val="Romn"/>
            </w:pPr>
          </w:p>
        </w:tc>
        <w:tc>
          <w:tcPr>
            <w:tcW w:w="2266" w:type="dxa"/>
            <w:vAlign w:val="center"/>
          </w:tcPr>
          <w:p w14:paraId="0E83ECEE" w14:textId="77777777" w:rsidR="00793370" w:rsidRPr="00FE200E" w:rsidRDefault="00793370" w:rsidP="00554DA3">
            <w:pPr>
              <w:pStyle w:val="Romn"/>
            </w:pPr>
          </w:p>
        </w:tc>
      </w:tr>
    </w:tbl>
    <w:p w14:paraId="071D8C3A" w14:textId="585587F0" w:rsidR="00CC1613" w:rsidRPr="00FE200E" w:rsidRDefault="00CC1613" w:rsidP="00554DA3">
      <w:pPr>
        <w:pStyle w:val="Romn"/>
        <w:jc w:val="left"/>
      </w:pPr>
    </w:p>
    <w:sectPr w:rsidR="00CC1613"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9341D" w14:textId="77777777" w:rsidR="009F0B73" w:rsidRDefault="009F0B73" w:rsidP="002149C8">
      <w:pPr>
        <w:spacing w:after="0" w:line="240" w:lineRule="auto"/>
      </w:pPr>
      <w:r>
        <w:separator/>
      </w:r>
    </w:p>
  </w:endnote>
  <w:endnote w:type="continuationSeparator" w:id="0">
    <w:p w14:paraId="58551680" w14:textId="77777777" w:rsidR="009F0B73" w:rsidRDefault="009F0B73"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9170"/>
      <w:docPartObj>
        <w:docPartGallery w:val="Page Numbers (Bottom of Page)"/>
        <w:docPartUnique/>
      </w:docPartObj>
    </w:sdtPr>
    <w:sdtEndPr>
      <w:rPr>
        <w:noProof/>
      </w:rPr>
    </w:sdtEndPr>
    <w:sdtContent>
      <w:p w14:paraId="3D49194A" w14:textId="1C394287" w:rsidR="00915339" w:rsidRDefault="00915339">
        <w:pPr>
          <w:pStyle w:val="Footer"/>
          <w:jc w:val="center"/>
        </w:pPr>
        <w:r>
          <w:fldChar w:fldCharType="begin"/>
        </w:r>
        <w:r>
          <w:instrText xml:space="preserve"> PAGE   \* MERGEFORMAT </w:instrText>
        </w:r>
        <w:r>
          <w:fldChar w:fldCharType="separate"/>
        </w:r>
        <w:r w:rsidR="0051599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3E1D" w14:textId="77777777" w:rsidR="009F0B73" w:rsidRDefault="009F0B73" w:rsidP="002149C8">
      <w:pPr>
        <w:spacing w:after="0" w:line="240" w:lineRule="auto"/>
      </w:pPr>
      <w:r>
        <w:separator/>
      </w:r>
    </w:p>
  </w:footnote>
  <w:footnote w:type="continuationSeparator" w:id="0">
    <w:p w14:paraId="4E7C5006" w14:textId="77777777" w:rsidR="009F0B73" w:rsidRDefault="009F0B73"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54E21900">
          <wp:simplePos x="0" y="0"/>
          <wp:positionH relativeFrom="column">
            <wp:posOffset>-323850</wp:posOffset>
          </wp:positionH>
          <wp:positionV relativeFrom="paragraph">
            <wp:posOffset>-177165</wp:posOffset>
          </wp:positionV>
          <wp:extent cx="1809750" cy="982980"/>
          <wp:effectExtent l="0" t="0" r="0" b="0"/>
          <wp:wrapTight wrapText="bothSides">
            <wp:wrapPolygon edited="0">
              <wp:start x="3411" y="2512"/>
              <wp:lineTo x="2274" y="4186"/>
              <wp:lineTo x="455" y="8372"/>
              <wp:lineTo x="455" y="11721"/>
              <wp:lineTo x="1592" y="16744"/>
              <wp:lineTo x="3411" y="18837"/>
              <wp:lineTo x="5684" y="18837"/>
              <wp:lineTo x="17053" y="17581"/>
              <wp:lineTo x="17280" y="16744"/>
              <wp:lineTo x="18417" y="10047"/>
              <wp:lineTo x="20918" y="9209"/>
              <wp:lineTo x="19554" y="3767"/>
              <wp:lineTo x="5684" y="2512"/>
              <wp:lineTo x="3411" y="2512"/>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82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4"/>
  </w:num>
  <w:num w:numId="6">
    <w:abstractNumId w:val="4"/>
  </w:num>
  <w:num w:numId="7">
    <w:abstractNumId w:val="10"/>
  </w:num>
  <w:num w:numId="8">
    <w:abstractNumId w:val="3"/>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6661A"/>
    <w:rsid w:val="00172C6E"/>
    <w:rsid w:val="00180229"/>
    <w:rsid w:val="001A156A"/>
    <w:rsid w:val="001C5638"/>
    <w:rsid w:val="001E6179"/>
    <w:rsid w:val="001F26E6"/>
    <w:rsid w:val="00207E5A"/>
    <w:rsid w:val="002149C8"/>
    <w:rsid w:val="00217A2E"/>
    <w:rsid w:val="002401E3"/>
    <w:rsid w:val="00241FDB"/>
    <w:rsid w:val="00256758"/>
    <w:rsid w:val="00260515"/>
    <w:rsid w:val="00273E8E"/>
    <w:rsid w:val="00293B06"/>
    <w:rsid w:val="002A526E"/>
    <w:rsid w:val="002E23B6"/>
    <w:rsid w:val="00343D53"/>
    <w:rsid w:val="00390811"/>
    <w:rsid w:val="003A7224"/>
    <w:rsid w:val="003C6483"/>
    <w:rsid w:val="003E0AFC"/>
    <w:rsid w:val="003E1D45"/>
    <w:rsid w:val="0041499A"/>
    <w:rsid w:val="0046368A"/>
    <w:rsid w:val="004808DF"/>
    <w:rsid w:val="004D6CE5"/>
    <w:rsid w:val="005115B8"/>
    <w:rsid w:val="00515995"/>
    <w:rsid w:val="005367B5"/>
    <w:rsid w:val="00544D21"/>
    <w:rsid w:val="00545E35"/>
    <w:rsid w:val="00554DA3"/>
    <w:rsid w:val="00592AD5"/>
    <w:rsid w:val="005C1D12"/>
    <w:rsid w:val="005D5CC9"/>
    <w:rsid w:val="00663536"/>
    <w:rsid w:val="0066535A"/>
    <w:rsid w:val="006C09BD"/>
    <w:rsid w:val="006D20A8"/>
    <w:rsid w:val="00740AC3"/>
    <w:rsid w:val="00777DA7"/>
    <w:rsid w:val="00793370"/>
    <w:rsid w:val="007B6086"/>
    <w:rsid w:val="007C33F2"/>
    <w:rsid w:val="007D3356"/>
    <w:rsid w:val="007D450D"/>
    <w:rsid w:val="00850E76"/>
    <w:rsid w:val="008768BD"/>
    <w:rsid w:val="00877A2D"/>
    <w:rsid w:val="0088270D"/>
    <w:rsid w:val="008C75A9"/>
    <w:rsid w:val="00915339"/>
    <w:rsid w:val="00962B5F"/>
    <w:rsid w:val="00977C57"/>
    <w:rsid w:val="009B0D36"/>
    <w:rsid w:val="009F0B73"/>
    <w:rsid w:val="00A04F4A"/>
    <w:rsid w:val="00A10FB0"/>
    <w:rsid w:val="00A21C5C"/>
    <w:rsid w:val="00A6133E"/>
    <w:rsid w:val="00A66E83"/>
    <w:rsid w:val="00A71564"/>
    <w:rsid w:val="00AD3616"/>
    <w:rsid w:val="00B33067"/>
    <w:rsid w:val="00B57631"/>
    <w:rsid w:val="00B8053A"/>
    <w:rsid w:val="00B85C97"/>
    <w:rsid w:val="00BC3270"/>
    <w:rsid w:val="00BC6A55"/>
    <w:rsid w:val="00BF1771"/>
    <w:rsid w:val="00BF24C9"/>
    <w:rsid w:val="00C040BB"/>
    <w:rsid w:val="00C1465C"/>
    <w:rsid w:val="00C358EB"/>
    <w:rsid w:val="00C42CBA"/>
    <w:rsid w:val="00C60A6C"/>
    <w:rsid w:val="00CB5499"/>
    <w:rsid w:val="00CC1613"/>
    <w:rsid w:val="00CD1B7E"/>
    <w:rsid w:val="00CE1401"/>
    <w:rsid w:val="00CF1F75"/>
    <w:rsid w:val="00D037CF"/>
    <w:rsid w:val="00D30B64"/>
    <w:rsid w:val="00D35C7D"/>
    <w:rsid w:val="00D41261"/>
    <w:rsid w:val="00D549EF"/>
    <w:rsid w:val="00D8380F"/>
    <w:rsid w:val="00D90D58"/>
    <w:rsid w:val="00DC36CA"/>
    <w:rsid w:val="00DD6F7F"/>
    <w:rsid w:val="00DE0DAB"/>
    <w:rsid w:val="00DE588E"/>
    <w:rsid w:val="00DE697A"/>
    <w:rsid w:val="00E12EB7"/>
    <w:rsid w:val="00E75D1B"/>
    <w:rsid w:val="00EB6350"/>
    <w:rsid w:val="00F26192"/>
    <w:rsid w:val="00F31096"/>
    <w:rsid w:val="00F33E7C"/>
    <w:rsid w:val="00F4079F"/>
    <w:rsid w:val="00F702B2"/>
    <w:rsid w:val="00FB306F"/>
    <w:rsid w:val="00FB4124"/>
    <w:rsid w:val="00FD0410"/>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554DA3"/>
    <w:pPr>
      <w:spacing w:after="0" w:line="240" w:lineRule="auto"/>
      <w:jc w:val="center"/>
    </w:pPr>
    <w:rPr>
      <w:rFonts w:asciiTheme="majorHAnsi" w:hAnsiTheme="majorHAnsi" w:cstheme="majorHAnsi"/>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
    <w:name w:val="Unresolved Mention"/>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CD1B7E"/>
    <w:rPr>
      <w:sz w:val="16"/>
      <w:szCs w:val="16"/>
    </w:rPr>
  </w:style>
  <w:style w:type="paragraph" w:styleId="CommentText">
    <w:name w:val="annotation text"/>
    <w:basedOn w:val="Normal"/>
    <w:link w:val="CommentTextChar"/>
    <w:uiPriority w:val="99"/>
    <w:semiHidden/>
    <w:unhideWhenUsed/>
    <w:rsid w:val="00CD1B7E"/>
    <w:pPr>
      <w:spacing w:line="240" w:lineRule="auto"/>
    </w:pPr>
    <w:rPr>
      <w:sz w:val="20"/>
      <w:szCs w:val="20"/>
    </w:rPr>
  </w:style>
  <w:style w:type="character" w:customStyle="1" w:styleId="CommentTextChar">
    <w:name w:val="Comment Text Char"/>
    <w:basedOn w:val="DefaultParagraphFont"/>
    <w:link w:val="CommentText"/>
    <w:uiPriority w:val="99"/>
    <w:semiHidden/>
    <w:rsid w:val="00CD1B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1B7E"/>
    <w:rPr>
      <w:b/>
      <w:bCs/>
    </w:rPr>
  </w:style>
  <w:style w:type="character" w:customStyle="1" w:styleId="CommentSubjectChar">
    <w:name w:val="Comment Subject Char"/>
    <w:basedOn w:val="CommentTextChar"/>
    <w:link w:val="CommentSubject"/>
    <w:uiPriority w:val="99"/>
    <w:semiHidden/>
    <w:rsid w:val="00CD1B7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066B-FE3B-418F-A46C-7F8991BE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2</cp:revision>
  <cp:lastPrinted>2023-04-20T11:10:00Z</cp:lastPrinted>
  <dcterms:created xsi:type="dcterms:W3CDTF">2026-02-24T13:13:00Z</dcterms:created>
  <dcterms:modified xsi:type="dcterms:W3CDTF">2026-02-24T13:13:00Z</dcterms:modified>
</cp:coreProperties>
</file>